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0A4C" w:rsidRDefault="00680A4C" w:rsidP="00680A4C">
      <w:pPr>
        <w:ind w:firstLine="709"/>
        <w:jc w:val="center"/>
        <w:rPr>
          <w:rFonts w:ascii="Segoe UI" w:eastAsia="Times New Roman" w:hAnsi="Segoe UI" w:cs="Segoe UI"/>
          <w:color w:val="000000"/>
          <w:sz w:val="24"/>
          <w:szCs w:val="24"/>
          <w:lang w:eastAsia="ru-RU"/>
        </w:rPr>
      </w:pPr>
      <w:r>
        <w:rPr>
          <w:rFonts w:ascii="Times New Roman" w:eastAsia="Times New Roman" w:hAnsi="Times New Roman" w:cs="Times New Roman"/>
          <w:b/>
          <w:bCs/>
          <w:color w:val="000000"/>
          <w:sz w:val="27"/>
          <w:szCs w:val="27"/>
          <w:lang w:eastAsia="ru-RU"/>
        </w:rPr>
        <w:t>Хеджирование</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b/>
          <w:bCs/>
          <w:color w:val="000000"/>
          <w:sz w:val="27"/>
          <w:szCs w:val="27"/>
          <w:lang w:eastAsia="ru-RU"/>
        </w:rPr>
        <w:t>Хеджирование</w:t>
      </w:r>
      <w:r>
        <w:rPr>
          <w:rFonts w:ascii="Times New Roman" w:eastAsia="Times New Roman" w:hAnsi="Times New Roman" w:cs="Times New Roman"/>
          <w:color w:val="000000"/>
          <w:sz w:val="27"/>
          <w:szCs w:val="27"/>
          <w:lang w:eastAsia="ru-RU"/>
        </w:rPr>
        <w:t xml:space="preserve"> – страхование или ограждение от потерь – </w:t>
      </w:r>
      <w:proofErr w:type="gramStart"/>
      <w:r>
        <w:rPr>
          <w:rFonts w:ascii="Times New Roman" w:eastAsia="Times New Roman" w:hAnsi="Times New Roman" w:cs="Times New Roman"/>
          <w:color w:val="000000"/>
          <w:sz w:val="27"/>
          <w:szCs w:val="27"/>
          <w:lang w:eastAsia="ru-RU"/>
        </w:rPr>
        <w:t>сделки</w:t>
      </w:r>
      <w:proofErr w:type="gramEnd"/>
      <w:r>
        <w:rPr>
          <w:rFonts w:ascii="Times New Roman" w:eastAsia="Times New Roman" w:hAnsi="Times New Roman" w:cs="Times New Roman"/>
          <w:color w:val="000000"/>
          <w:sz w:val="27"/>
          <w:szCs w:val="27"/>
          <w:lang w:eastAsia="ru-RU"/>
        </w:rPr>
        <w:t xml:space="preserve"> осуществляемые в целях установления сумм в валюте отчетности, которые требуются или должны быть в наличии на дату расчетов по сделкам в иностранной валюте.</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Существует  три вида хеджирования: хедж на будущий  заказ; хедж по накладной; спекулятивный  хедж.</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Учет  хеджирования регламентируется международным стандартом финансовой отчетности 39 «финансовые инструменты: признание и оценка».</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В соответствии с этим документом хеджирование для целей бухгалтерского учета  означает использование одного или  нескольких инструментов хеджирования таким образом, чтобы изменение их справедливой стоимости или потоков денежных средств хеджируемой статьи.</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Справедливая  стоимость – это сумма, на которую актив мог бы быть обменен, или обязательно погашено, между осведомленными желающими совершить такую операцию независимыми сторонами.</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Хеджируемая статья – это актив, обязательство, твердое обязательство или ожидаемая  будущая сделка, которая:</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а) подвергает предприятие риску изменений  справедливой стоимости или риску  изменений будущих потоков денежных средств; или</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б) для целей учета при хеджировании </w:t>
      </w:r>
      <w:proofErr w:type="gramStart"/>
      <w:r>
        <w:rPr>
          <w:rFonts w:ascii="Times New Roman" w:eastAsia="Times New Roman" w:hAnsi="Times New Roman" w:cs="Times New Roman"/>
          <w:color w:val="000000"/>
          <w:sz w:val="27"/>
          <w:szCs w:val="27"/>
          <w:lang w:eastAsia="ru-RU"/>
        </w:rPr>
        <w:t>определена</w:t>
      </w:r>
      <w:proofErr w:type="gramEnd"/>
      <w:r>
        <w:rPr>
          <w:rFonts w:ascii="Times New Roman" w:eastAsia="Times New Roman" w:hAnsi="Times New Roman" w:cs="Times New Roman"/>
          <w:color w:val="000000"/>
          <w:sz w:val="27"/>
          <w:szCs w:val="27"/>
          <w:lang w:eastAsia="ru-RU"/>
        </w:rPr>
        <w:t xml:space="preserve"> в качестве хеджируемой.</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Инструмент  хеджирования для целей учета  при хеджировании – это определенный производный инструмент или (в ограниченном числе случаев) другой финансовый актив  или обязательство, справедливая стоимость или потоки денежных средств которого, как ожидается, будут компенсировать изменения справедливой стоимости или потоков денежных средств определенной хеджируемой статьи. Непроизводственные финансовые активы или обязательства могут </w:t>
      </w:r>
      <w:proofErr w:type="gramStart"/>
      <w:r>
        <w:rPr>
          <w:rFonts w:ascii="Times New Roman" w:eastAsia="Times New Roman" w:hAnsi="Times New Roman" w:cs="Times New Roman"/>
          <w:color w:val="000000"/>
          <w:sz w:val="27"/>
          <w:szCs w:val="27"/>
          <w:lang w:eastAsia="ru-RU"/>
        </w:rPr>
        <w:t>определятся</w:t>
      </w:r>
      <w:proofErr w:type="gramEnd"/>
      <w:r>
        <w:rPr>
          <w:rFonts w:ascii="Times New Roman" w:eastAsia="Times New Roman" w:hAnsi="Times New Roman" w:cs="Times New Roman"/>
          <w:color w:val="000000"/>
          <w:sz w:val="27"/>
          <w:szCs w:val="27"/>
          <w:lang w:eastAsia="ru-RU"/>
        </w:rPr>
        <w:t xml:space="preserve"> в качестве инструмента хеджирования для целей учета при хеджировании в случае, если они хеджируют риск изменения валютного курса.</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В учете хеджирования в чистой прибыли  или убытке симметрично признаются </w:t>
      </w:r>
      <w:proofErr w:type="spellStart"/>
      <w:r>
        <w:rPr>
          <w:rFonts w:ascii="Times New Roman" w:eastAsia="Times New Roman" w:hAnsi="Times New Roman" w:cs="Times New Roman"/>
          <w:color w:val="000000"/>
          <w:sz w:val="27"/>
          <w:szCs w:val="27"/>
          <w:lang w:eastAsia="ru-RU"/>
        </w:rPr>
        <w:t>взаимозачитываемые</w:t>
      </w:r>
      <w:proofErr w:type="spellEnd"/>
      <w:r>
        <w:rPr>
          <w:rFonts w:ascii="Times New Roman" w:eastAsia="Times New Roman" w:hAnsi="Times New Roman" w:cs="Times New Roman"/>
          <w:color w:val="000000"/>
          <w:sz w:val="27"/>
          <w:szCs w:val="27"/>
          <w:lang w:eastAsia="ru-RU"/>
        </w:rPr>
        <w:t xml:space="preserve"> результаты изменений в справедливой стоимости инструмента хеджирования и соответствующей хеджируемой статьи.</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Существует  три вида отношений хеджирования:</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а) хеджирование справедливой стоимости: хеджирование убытков от изменений в справедливой стоимости признанного в балансе актива (обязательства) или определенной доли такого актива (обязательства), которое относится к конкретному риску и оказывает влияние на чистую прибыль отчетного периода;</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proofErr w:type="gramStart"/>
      <w:r>
        <w:rPr>
          <w:rFonts w:ascii="Times New Roman" w:eastAsia="Times New Roman" w:hAnsi="Times New Roman" w:cs="Times New Roman"/>
          <w:color w:val="000000"/>
          <w:sz w:val="27"/>
          <w:szCs w:val="27"/>
          <w:lang w:eastAsia="ru-RU"/>
        </w:rPr>
        <w:t>б) хеджирование денежных потоков: хеджирование убытков от изменений денежных потоков, которое относится к конкретному риску, связанному с признанным в балансе активом или обязательством (например, хеджирование всех или отдельных будущих выплат процентов по долговому обязательству с переменной процентной ставкой) или с ожидаемой сделкой (например, хеджирование ожидаемой покупки или продажи), а также оказывает влияние на чистую прибыль или убыток отчетного периода.</w:t>
      </w:r>
      <w:proofErr w:type="gramEnd"/>
      <w:r>
        <w:rPr>
          <w:rFonts w:ascii="Times New Roman" w:eastAsia="Times New Roman" w:hAnsi="Times New Roman" w:cs="Times New Roman"/>
          <w:color w:val="000000"/>
          <w:sz w:val="27"/>
          <w:szCs w:val="27"/>
          <w:lang w:eastAsia="ru-RU"/>
        </w:rPr>
        <w:t xml:space="preserve"> Хеджирование непризнанного в балансе твердого соглашения на покупку или продажу актива по фиксированной цене, выраженной в валюте отчетности (используемой при представлении </w:t>
      </w:r>
      <w:r>
        <w:rPr>
          <w:rFonts w:ascii="Times New Roman" w:eastAsia="Times New Roman" w:hAnsi="Times New Roman" w:cs="Times New Roman"/>
          <w:color w:val="000000"/>
          <w:sz w:val="27"/>
          <w:szCs w:val="27"/>
          <w:lang w:eastAsia="ru-RU"/>
        </w:rPr>
        <w:lastRenderedPageBreak/>
        <w:t>финансовой отчетности) предприятия, учитывается как хеджирование денежных потоков, даже не смотря на риски изменения справедливой стоимости;</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 xml:space="preserve">в) хеджирование чистых инвестиций в зарубежное предприятие </w:t>
      </w:r>
      <w:proofErr w:type="gramStart"/>
      <w:r>
        <w:rPr>
          <w:rFonts w:ascii="Times New Roman" w:eastAsia="Times New Roman" w:hAnsi="Times New Roman" w:cs="Times New Roman"/>
          <w:color w:val="000000"/>
          <w:sz w:val="27"/>
          <w:szCs w:val="27"/>
          <w:lang w:eastAsia="ru-RU"/>
        </w:rPr>
        <w:t xml:space="preserve">( </w:t>
      </w:r>
      <w:proofErr w:type="gramEnd"/>
      <w:r>
        <w:rPr>
          <w:rFonts w:ascii="Times New Roman" w:eastAsia="Times New Roman" w:hAnsi="Times New Roman" w:cs="Times New Roman"/>
          <w:color w:val="000000"/>
          <w:sz w:val="27"/>
          <w:szCs w:val="27"/>
          <w:lang w:eastAsia="ru-RU"/>
        </w:rPr>
        <w:t>в соответствии с МСФО 21 «Влияние изменений валютных курсов»).</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Хеджирование  может применять специальный  учет при хеджировании справедливой стоимости только тогда, когда выполнены  все следующие условия:</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а) с самого начала отношений хеджирования, задачи предприятия в области управления риском и стратегия осуществления хеджирования излагаются в официальной документации. В этой документации следует определить инструмент хеджирования, связанную с ним хеджируемую статью или сделку, характер хеджируемого риска. А также установить, каким образом предприятие будет оценивать эффективность инструмента хеджирования применительно к уменьшению потерь от непосредственно связанных с хеджируемым риском изменений справедливой стоимости хеджируемой статьи или денежных потоков хеджируемой сделки;</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б) ожидается, что хеджирование окажется высокоэффективным инструментом, обеспечивающим взаимозачет связанных с хеджируемым  риском изменений справедливой стоимости  или денежных потоков в соответствии со стратегией управления рисками, изначально сформулированной для данного конкретного отношения хеджирования;</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в) при хеджировании денежных потоков  необходима высокая вероятность  совершения подлежащей хеджированию ожидаемой  сделки, которой должен сопутствовать  риск изменений денежных потоков, влияющих в конечном итоге на чистую прибыль или убыток;</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г) эффективность хеджирования можно  оценить с достаточной степенью достоверности, т.е. можно достоверно определить справедливую стоимость  или оценить денежные потоки хеджируемой  статьи, а также справедливую стоимость инструмента хеджирования;</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proofErr w:type="spellStart"/>
      <w:r>
        <w:rPr>
          <w:rFonts w:ascii="Times New Roman" w:eastAsia="Times New Roman" w:hAnsi="Times New Roman" w:cs="Times New Roman"/>
          <w:color w:val="000000"/>
          <w:sz w:val="27"/>
          <w:szCs w:val="27"/>
          <w:lang w:eastAsia="ru-RU"/>
        </w:rPr>
        <w:t>д</w:t>
      </w:r>
      <w:proofErr w:type="spellEnd"/>
      <w:r>
        <w:rPr>
          <w:rFonts w:ascii="Times New Roman" w:eastAsia="Times New Roman" w:hAnsi="Times New Roman" w:cs="Times New Roman"/>
          <w:color w:val="000000"/>
          <w:sz w:val="27"/>
          <w:szCs w:val="27"/>
          <w:lang w:eastAsia="ru-RU"/>
        </w:rPr>
        <w:t>) постоянно проводилась оценка хеджирования, в результате чего была установлена его высокая эффективность на протяжении всего отчетного периода.</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Если  в течени</w:t>
      </w:r>
      <w:proofErr w:type="gramStart"/>
      <w:r>
        <w:rPr>
          <w:rFonts w:ascii="Times New Roman" w:eastAsia="Times New Roman" w:hAnsi="Times New Roman" w:cs="Times New Roman"/>
          <w:color w:val="000000"/>
          <w:sz w:val="27"/>
          <w:szCs w:val="27"/>
          <w:lang w:eastAsia="ru-RU"/>
        </w:rPr>
        <w:t>и</w:t>
      </w:r>
      <w:proofErr w:type="gramEnd"/>
      <w:r>
        <w:rPr>
          <w:rFonts w:ascii="Times New Roman" w:eastAsia="Times New Roman" w:hAnsi="Times New Roman" w:cs="Times New Roman"/>
          <w:color w:val="000000"/>
          <w:sz w:val="27"/>
          <w:szCs w:val="27"/>
          <w:lang w:eastAsia="ru-RU"/>
        </w:rPr>
        <w:t> отчетного периода  хеджирование справедливой стоимости удовлетворяет выше перечисленным условиям, его необходимо учитывать следующим образом:</w:t>
      </w:r>
    </w:p>
    <w:p w:rsidR="00680A4C" w:rsidRDefault="00680A4C" w:rsidP="00680A4C">
      <w:pPr>
        <w:ind w:firstLine="709"/>
        <w:jc w:val="both"/>
        <w:rPr>
          <w:rFonts w:ascii="Segoe UI" w:eastAsia="Times New Roman" w:hAnsi="Segoe UI" w:cs="Segoe UI"/>
          <w:color w:val="000000"/>
          <w:sz w:val="24"/>
          <w:szCs w:val="24"/>
          <w:lang w:eastAsia="ru-RU"/>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а) доход или убыток от переоценки инструмента  хеджирования по справедливой стоимости, следует незамедлительно относить на чистую прибыль или убыток;</w:t>
      </w:r>
    </w:p>
    <w:p w:rsidR="00680A4C" w:rsidRDefault="00680A4C" w:rsidP="00680A4C">
      <w:pPr>
        <w:ind w:firstLine="709"/>
        <w:jc w:val="both"/>
        <w:rPr>
          <w:rFonts w:ascii="Times New Roman" w:hAnsi="Times New Roman" w:cs="Times New Roman"/>
          <w:sz w:val="28"/>
          <w:szCs w:val="28"/>
        </w:rPr>
      </w:pPr>
      <w:r>
        <w:rPr>
          <w:rFonts w:ascii="Segoe UI" w:eastAsia="Times New Roman" w:hAnsi="Segoe UI" w:cs="Segoe UI"/>
          <w:color w:val="000000"/>
          <w:sz w:val="24"/>
          <w:szCs w:val="24"/>
          <w:lang w:eastAsia="ru-RU"/>
        </w:rPr>
        <w:t>    </w:t>
      </w:r>
      <w:r>
        <w:rPr>
          <w:rFonts w:ascii="Times New Roman" w:eastAsia="Times New Roman" w:hAnsi="Times New Roman" w:cs="Times New Roman"/>
          <w:color w:val="000000"/>
          <w:sz w:val="27"/>
          <w:szCs w:val="27"/>
          <w:lang w:eastAsia="ru-RU"/>
        </w:rPr>
        <w:t>б) балансовую стоимость хеджируемой статьи необходимо корректировать с учетом отнесенной к хеджируемому риску дохода или убытка по хеджируемой статье</w:t>
      </w:r>
      <w:proofErr w:type="gramStart"/>
      <w:r>
        <w:rPr>
          <w:rFonts w:ascii="Times New Roman" w:eastAsia="Times New Roman" w:hAnsi="Times New Roman" w:cs="Times New Roman"/>
          <w:color w:val="000000"/>
          <w:sz w:val="27"/>
          <w:szCs w:val="27"/>
          <w:lang w:eastAsia="ru-RU"/>
        </w:rPr>
        <w:t xml:space="preserve"> ,</w:t>
      </w:r>
      <w:proofErr w:type="gramEnd"/>
      <w:r>
        <w:rPr>
          <w:rFonts w:ascii="Times New Roman" w:eastAsia="Times New Roman" w:hAnsi="Times New Roman" w:cs="Times New Roman"/>
          <w:color w:val="000000"/>
          <w:sz w:val="27"/>
          <w:szCs w:val="27"/>
          <w:lang w:eastAsia="ru-RU"/>
        </w:rPr>
        <w:t xml:space="preserve"> который следует незамедлительно относить на чистую прибыль или убыток. Данной положение действует даже в том случае, когда оценка хеджируемой статьи проводится по справедливой стоимости, а изменения справедливой стоимости признаются непосредственно на счетах капитала. То же самое относится к тем случаям, когда оценка хеджируемой статьи проводится по фактическим затратам.</w:t>
      </w:r>
      <w:r>
        <w:rPr>
          <w:rFonts w:ascii="Segoe UI" w:eastAsia="Times New Roman" w:hAnsi="Segoe UI" w:cs="Segoe UI"/>
          <w:color w:val="000000"/>
          <w:sz w:val="24"/>
          <w:szCs w:val="24"/>
          <w:lang w:eastAsia="ru-RU"/>
        </w:rPr>
        <w:t> </w:t>
      </w:r>
    </w:p>
    <w:p w:rsidR="000E5821" w:rsidRDefault="000E5821"/>
    <w:sectPr w:rsidR="000E5821"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680A4C"/>
    <w:rsid w:val="000E5821"/>
    <w:rsid w:val="00143730"/>
    <w:rsid w:val="00190430"/>
    <w:rsid w:val="00543310"/>
    <w:rsid w:val="00680A4C"/>
    <w:rsid w:val="008243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0A4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043632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868</Words>
  <Characters>4953</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2020-11-06T08:32:00Z</dcterms:created>
  <dcterms:modified xsi:type="dcterms:W3CDTF">2020-11-06T08:58:00Z</dcterms:modified>
</cp:coreProperties>
</file>